
<file path=[Content_Types].xml><?xml version="1.0" encoding="utf-8"?>
<Types xmlns="http://schemas.openxmlformats.org/package/2006/content-types">
  <Default Extension="jpeg" ContentType="image/jpeg"/>
  <Default Extension="JPG" ContentType="image/.jpg"/>
  <Default Extension="tiff" ContentType="image/tif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77F37B">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196585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85164" name="Picture 1"/>
                    <pic:cNvPicPr>
                      <a:picLocks noChangeAspect="1" noChangeArrowheads="1"/>
                    </pic:cNvPicPr>
                  </pic:nvPicPr>
                  <pic:blipFill>
                    <a:blip r:embed="rId12"/>
                    <a:stretch>
                      <a:fillRect/>
                    </a:stretch>
                  </pic:blipFill>
                  <pic:spPr>
                    <a:xfrm>
                      <a:off x="0" y="0"/>
                      <a:ext cx="5486400" cy="5486400"/>
                    </a:xfrm>
                    <a:prstGeom prst="rect">
                      <a:avLst/>
                    </a:prstGeom>
                    <a:noFill/>
                    <a:ln>
                      <a:noFill/>
                    </a:ln>
                  </pic:spPr>
                </pic:pic>
              </a:graphicData>
            </a:graphic>
          </wp:inline>
        </w:drawing>
      </w:r>
    </w:p>
    <w:p w14:paraId="61C493F1">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color w:val="000000" w:themeColor="text1"/>
          <w:sz w:val="22"/>
          <w:szCs w:val="22"/>
          <w:highlight w:val="none"/>
          <w14:textFill>
            <w14:solidFill>
              <w14:schemeClr w14:val="tx1"/>
            </w14:solidFill>
          </w14:textFill>
        </w:rPr>
        <w:t xml:space="preserve">Figure </w:t>
      </w:r>
      <w:r>
        <w:rPr>
          <w:rFonts w:ascii="Times New Roman" w:hAnsi="Times New Roman"/>
          <w:color w:val="000000" w:themeColor="text1"/>
          <w:sz w:val="22"/>
          <w:szCs w:val="22"/>
          <w:highlight w:val="none"/>
          <w14:textFill>
            <w14:solidFill>
              <w14:schemeClr w14:val="tx1"/>
            </w14:solidFill>
          </w14:textFill>
        </w:rPr>
        <w:t>S1</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Cross-talk of RCDGs in BLCA. (A) The mRNA expression correlation of RCDGs in bladder cancer. (B) The RCD gene numbers are the distribution of five zones. (C) Protein-protein interaction of RCDGs.</w:t>
      </w:r>
    </w:p>
    <w:p w14:paraId="4D6C71B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eastAsiaTheme="minorEastAsia"/>
          <w:color w:val="000000" w:themeColor="text1"/>
          <w:sz w:val="22"/>
          <w:szCs w:val="22"/>
          <w:lang w:eastAsia="zh-CN"/>
          <w14:textFill>
            <w14:solidFill>
              <w14:schemeClr w14:val="tx1"/>
            </w14:solidFill>
          </w14:textFill>
        </w:rPr>
        <w:drawing>
          <wp:inline distT="0" distB="0" distL="114300" distR="114300">
            <wp:extent cx="5937250" cy="7012305"/>
            <wp:effectExtent l="0" t="0" r="6350" b="13335"/>
            <wp:docPr id="5" name="图片 5" descr="IMG_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7967"/>
                    <pic:cNvPicPr>
                      <a:picLocks noChangeAspect="1"/>
                    </pic:cNvPicPr>
                  </pic:nvPicPr>
                  <pic:blipFill>
                    <a:blip r:embed="rId13"/>
                    <a:stretch>
                      <a:fillRect/>
                    </a:stretch>
                  </pic:blipFill>
                  <pic:spPr>
                    <a:xfrm>
                      <a:off x="0" y="0"/>
                      <a:ext cx="5937250" cy="7012305"/>
                    </a:xfrm>
                    <a:prstGeom prst="rect">
                      <a:avLst/>
                    </a:prstGeom>
                  </pic:spPr>
                </pic:pic>
              </a:graphicData>
            </a:graphic>
          </wp:inline>
        </w:drawing>
      </w:r>
    </w:p>
    <w:p w14:paraId="545392A2">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Mutation characterization of RCDGs. (A) The variant situations of RCDGs in TCGA-BLCA. (B) The mutation rate distribution of different types of RCDGs. Mutation rate was calculated as the percentage of TCGA-BLCA samples harboring mutations in each gene. Random genes represent repeatedly sampled non-RCD protein-coding genes matched to the number of RCDGs, as described in the Supplementary Methods. (C) The waterfall diagram shows the somatic mutation situation of high mutation rate RCDGs (mutation rate &gt; 2.5%) in TCGA-BLCA. (D) The Venn diagram shows the overlapping genes between the top 25 mutation genes and multifunction genes with high mutation genes. (E) The Venn diagram shows the overlapping genes between high mutation rate genes and multifunction genes in TCGA-BLCA. (F) Protein-protein interaction of the top 5 multifunction genes with high mutation rate. (G) Mutation co-occurrence and the mutually exclusive of the top 86 high mutation rate genes.</w:t>
      </w:r>
    </w:p>
    <w:p w14:paraId="252D352F">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eastAsiaTheme="minorEastAsia"/>
          <w:color w:val="000000" w:themeColor="text1"/>
          <w:sz w:val="22"/>
          <w:szCs w:val="22"/>
          <w:lang w:eastAsia="zh-CN"/>
          <w14:textFill>
            <w14:solidFill>
              <w14:schemeClr w14:val="tx1"/>
            </w14:solidFill>
          </w14:textFill>
        </w:rPr>
        <w:drawing>
          <wp:inline distT="0" distB="0" distL="114300" distR="114300">
            <wp:extent cx="5939155" cy="5939155"/>
            <wp:effectExtent l="0" t="0" r="4445" b="4445"/>
            <wp:docPr id="2" name="图片 2" descr="Supplementary Figure 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upplementary Figure S3"/>
                    <pic:cNvPicPr>
                      <a:picLocks noChangeAspect="1"/>
                    </pic:cNvPicPr>
                  </pic:nvPicPr>
                  <pic:blipFill>
                    <a:blip r:embed="rId14"/>
                    <a:stretch>
                      <a:fillRect/>
                    </a:stretch>
                  </pic:blipFill>
                  <pic:spPr>
                    <a:xfrm>
                      <a:off x="0" y="0"/>
                      <a:ext cx="5939155" cy="5939155"/>
                    </a:xfrm>
                    <a:prstGeom prst="rect">
                      <a:avLst/>
                    </a:prstGeom>
                  </pic:spPr>
                </pic:pic>
              </a:graphicData>
            </a:graphic>
          </wp:inline>
        </w:drawing>
      </w:r>
    </w:p>
    <w:p w14:paraId="5D41A5AC">
      <w:pPr>
        <w:pStyle w:val="11"/>
        <w:spacing w:before="240" w:line="240" w:lineRule="auto"/>
        <w:jc w:val="left"/>
        <w:rPr>
          <w:rFonts w:ascii="Times New Roman" w:hAnsi="Times New Roman"/>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S3</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Mutation characterization of RCDGs. (A) The Expression of RCDGs in the mutation and wild types. (B) The waterfall diagram shows the somatic mutation situation of the top 20 high mutation rate RCDGs in CCLE-BLCA. (C) The waterfall diagram shows the somatic mutation situation of high mutation rate RCDGs (mutation rate &gt; 2.5%) in ICGC-BLCA. (D) The Venn diagram shows the overlapping genes between high mutation rate genes and multifunction genes in ICGC-BLCA. (E) The Venn diagram shows the common high-mutation-rate genes in TCGA-BLCA and ICGC-BLCA. (F) The hotspot mutation of the top 5 highly mutated RCDGs. (G) The heatmap shows the co-occurrence and mutually exclusive relationship of high mutation rate RCDGs. The color scale represents signed −log10(P-value), where blue indicates co-occurrence and red indicates mutual exclusivity. Dots and asterisks indicate statistically significant associations. Detailed pairwise statistical results are provided in Table S6.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-value &lt; 0.05, **</w:t>
      </w:r>
      <w:r>
        <w:rPr>
          <w:rFonts w:ascii="Times New Roman" w:hAnsi="Times New Roman"/>
          <w:i/>
          <w:iCs/>
          <w:color w:val="000000" w:themeColor="text1"/>
          <w:sz w:val="22"/>
          <w:szCs w:val="22"/>
          <w14:textFill>
            <w14:solidFill>
              <w14:schemeClr w14:val="tx1"/>
            </w14:solidFill>
          </w14:textFill>
        </w:rPr>
        <w:t xml:space="preserve"> P</w:t>
      </w:r>
      <w:r>
        <w:rPr>
          <w:rFonts w:ascii="Times New Roman" w:hAnsi="Times New Roman"/>
          <w:color w:val="000000" w:themeColor="text1"/>
          <w:sz w:val="22"/>
          <w:szCs w:val="22"/>
          <w14:textFill>
            <w14:solidFill>
              <w14:schemeClr w14:val="tx1"/>
            </w14:solidFill>
          </w14:textFill>
        </w:rPr>
        <w:t xml:space="preserve">-value &lt; 0.01,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 xml:space="preserve">value &lt; 0.001,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-value &lt; 0.0001.</w:t>
      </w:r>
    </w:p>
    <w:p w14:paraId="38F9FA63">
      <w:pPr>
        <w:pStyle w:val="11"/>
        <w:spacing w:before="240" w:line="240" w:lineRule="auto"/>
        <w:jc w:val="left"/>
        <w:rPr>
          <w:rFonts w:ascii="Times New Roman" w:hAnsi="Times New Roman"/>
          <w:color w:val="000000" w:themeColor="text1"/>
          <w:sz w:val="22"/>
          <w:szCs w:val="22"/>
          <w14:textFill>
            <w14:solidFill>
              <w14:schemeClr w14:val="tx1"/>
            </w14:solidFill>
          </w14:textFill>
        </w:rPr>
      </w:pPr>
    </w:p>
    <w:p w14:paraId="7C60A78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eastAsiaTheme="minorEastAsia"/>
          <w:color w:val="000000" w:themeColor="text1"/>
          <w:sz w:val="22"/>
          <w:szCs w:val="22"/>
          <w:lang w:eastAsia="zh-CN"/>
          <w14:textFill>
            <w14:solidFill>
              <w14:schemeClr w14:val="tx1"/>
            </w14:solidFill>
          </w14:textFill>
        </w:rPr>
        <w:drawing>
          <wp:inline distT="0" distB="0" distL="114300" distR="114300">
            <wp:extent cx="4921885" cy="6793230"/>
            <wp:effectExtent l="0" t="0" r="635" b="3810"/>
            <wp:docPr id="4" name="图片 4" descr="fig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s4."/>
                    <pic:cNvPicPr>
                      <a:picLocks noChangeAspect="1"/>
                    </pic:cNvPicPr>
                  </pic:nvPicPr>
                  <pic:blipFill>
                    <a:blip r:embed="rId15"/>
                    <a:stretch>
                      <a:fillRect/>
                    </a:stretch>
                  </pic:blipFill>
                  <pic:spPr>
                    <a:xfrm>
                      <a:off x="0" y="0"/>
                      <a:ext cx="4921885" cy="6793230"/>
                    </a:xfrm>
                    <a:prstGeom prst="rect">
                      <a:avLst/>
                    </a:prstGeom>
                  </pic:spPr>
                </pic:pic>
              </a:graphicData>
            </a:graphic>
          </wp:inline>
        </w:drawing>
      </w:r>
    </w:p>
    <w:p w14:paraId="23083572">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S4</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Copy number characterization of RCDGs in bladder cancer. (A) The CNV rate of RCDGs in different chromosomes. (B) The chromosomal genomic distribution of RCDGs with CNV alterations. (C) The CNV rate of different types of RCDGs. (D) Correlation between gene-level CNV and mutation rate of RCDGs. (E and F) The waterfall diagram shows the RCDGs with CNV (Gain and Amplification or Loss and Deep deletion) rate &gt; 50% in TCGA-BLCA. (G and H) Overlapping genes of high CNV rate genes in TCGA-BLCA and CCLE-BLCA. (I and J) CNV co-occurrence characterization of high CNV rate genes in TCGA-BLCA. (K) The correlation between linear copy number and mRNA expression of RCDGs in the TCGA-BLCA dataset.</w:t>
      </w:r>
    </w:p>
    <w:p w14:paraId="0CF727DD">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bookmarkStart w:id="0" w:name="_GoBack"/>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0504145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14582" name="Picture 5"/>
                    <pic:cNvPicPr>
                      <a:picLocks noChangeAspect="1" noChangeArrowheads="1"/>
                    </pic:cNvPicPr>
                  </pic:nvPicPr>
                  <pic:blipFill>
                    <a:blip r:embed="rId16"/>
                    <a:stretch>
                      <a:fillRect/>
                    </a:stretch>
                  </pic:blipFill>
                  <pic:spPr>
                    <a:xfrm>
                      <a:off x="0" y="0"/>
                      <a:ext cx="5486400" cy="5486400"/>
                    </a:xfrm>
                    <a:prstGeom prst="rect">
                      <a:avLst/>
                    </a:prstGeom>
                    <a:noFill/>
                    <a:ln>
                      <a:noFill/>
                    </a:ln>
                  </pic:spPr>
                </pic:pic>
              </a:graphicData>
            </a:graphic>
          </wp:inline>
        </w:drawing>
      </w:r>
      <w:bookmarkEnd w:id="0"/>
    </w:p>
    <w:p w14:paraId="00C10DC6">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S5</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CNV characterization of RCDGs in CCLE-BLCA. (A) CNV rate distribution of RCDGs in different chromosomes. (B) A Venn diagram shows the co-high CNV rate RCDGs in TCGA-BLCA and CCLE-BLCA. (C) Amplification rates of RCDGs across different types of RCDs in the CCLE-BLCA dataset. (D)Deletion Rates of RCDGs across different types of RCDs in the CCLE-BLCA dataset. (E and F) The waterfall diagram shows the RCDGs with CNV (Gain and Amplification or Loss and Deep deletion) rate &gt; 50% in CCLE-BLCA. CCLE-BLCA cohort contains a limited number of bladder cancer cell lines, CNV frequency estimates should be interpreted cautiously. </w:t>
      </w:r>
    </w:p>
    <w:p w14:paraId="093A192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9436343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34342" name="Picture 6"/>
                    <pic:cNvPicPr>
                      <a:picLocks noChangeAspect="1" noChangeArrowheads="1"/>
                    </pic:cNvPicPr>
                  </pic:nvPicPr>
                  <pic:blipFill>
                    <a:blip r:embed="rId17"/>
                    <a:stretch>
                      <a:fillRect/>
                    </a:stretch>
                  </pic:blipFill>
                  <pic:spPr>
                    <a:xfrm>
                      <a:off x="0" y="0"/>
                      <a:ext cx="5486400" cy="5486400"/>
                    </a:xfrm>
                    <a:prstGeom prst="rect">
                      <a:avLst/>
                    </a:prstGeom>
                    <a:noFill/>
                    <a:ln>
                      <a:noFill/>
                    </a:ln>
                  </pic:spPr>
                </pic:pic>
              </a:graphicData>
            </a:graphic>
          </wp:inline>
        </w:drawing>
      </w:r>
    </w:p>
    <w:p w14:paraId="14E3DE2A">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S6</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DNA methylation characterization of RCDGs in bladder cancer. (A) Distribution of the methylation site of RCDGs in different chromosomes. (B) Methylation sites distribution of RCDGs in CpG island, open sea, shelf, and shore. (C) Methylation site distribution of RCDGs based on the distance to the TSS. (D) The volcano Figure shows the RCD DMGs. (E) Heatmap showing the methylation levels of DMGs in TCGA-BLCA tumor tissues (n = 411) and normal bladder tissues (n = 19). (F) Differential methylation sites distribution of RCDGs in CpG island, open</w:t>
      </w:r>
      <w:r>
        <w:rPr>
          <w:rFonts w:ascii="Times New Roman" w:hAnsi="Times New Roman" w:eastAsiaTheme="minorEastAsia"/>
          <w:color w:val="000000" w:themeColor="text1"/>
          <w:sz w:val="22"/>
          <w:szCs w:val="22"/>
          <w:lang w:eastAsia="zh-CN"/>
          <w14:textFill>
            <w14:solidFill>
              <w14:schemeClr w14:val="tx1"/>
            </w14:solidFill>
          </w14:textFill>
        </w:rPr>
        <w:t xml:space="preserve"> </w:t>
      </w:r>
      <w:r>
        <w:rPr>
          <w:rFonts w:ascii="Times New Roman" w:hAnsi="Times New Roman"/>
          <w:color w:val="000000" w:themeColor="text1"/>
          <w:sz w:val="22"/>
          <w:szCs w:val="22"/>
          <w14:textFill>
            <w14:solidFill>
              <w14:schemeClr w14:val="tx1"/>
            </w14:solidFill>
          </w14:textFill>
        </w:rPr>
        <w:t xml:space="preserve">sea, shelf, and shore. (G) Differential methylation site distribution of RCDGs based on the distance to the TSS. (H and J) Distribution of methylation sites negatively or positively correlated with mRNA expression of corresponding genes on different types of RCDs. (I and K) Distribution of methylation sites negatively or positively correlated with mRNA expression of corresponding genes based on the distance to the TSS. </w:t>
      </w:r>
    </w:p>
    <w:p w14:paraId="04CEACF1">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2697616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6163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07CD53D0">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S7</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RNA modification of RCDGs in bladder cancer. (A) The Venn diagram shows the overlapping genes between m5C DMGs and RCDGs. (B) Differential m5C methylation genes of RCDGs in bladder cancer. (C) Heatmap shows the logFC and -log10(FDR) of differential m5C methylation sites of RCDGs. (D) The barplot shows the logFC of differential expression RCDGs of bladder cancers. (E) Correlation between mRNA expression and m5C levels of TP73 in GSE133624. (F) The types of m5C regulators and corresponding RNA types. (G and H) Correlation between ALYREF and PKM in GSE133624 and TCGA-BLCA. The ALYREF–PKM/PKM2 correlation in GSE133624 was not statistically significant and was therefore interpreted as exploratory rather than confirmatory evidence.</w:t>
      </w:r>
    </w:p>
    <w:p w14:paraId="6B14FB82">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9863373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37322"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1F01A17A">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S8</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Correlation between RCDGs and m6A regulators. Node annotations include two distinct classification systems: (i) functional classes of RNA modification regulators (Readers, Writers, and Erasers), and (ii) regulated cell death (RCD) categories assigned to the correlated target genes (Apoptosis, Ferroptosis, Necroptosis, Pyroptosis, Autophagy, and Multifunction) according to the curated RCD classification framework.</w:t>
      </w:r>
    </w:p>
    <w:p w14:paraId="1C9C8F21">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9350618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061829"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3D2B953E">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S9</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Correlation between RCDGs and m5C regulators. Candidate RCDGs were identified based on transcriptomic correlation analyses with m5C regulators using mRNA expression data. STRING database-derived protein-protein interaction (PPI) information was subsequently incorporated for network visualization and interaction annotation.</w:t>
      </w:r>
    </w:p>
    <w:p w14:paraId="4C094477">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2148055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05539" name="Picture 10"/>
                    <pic:cNvPicPr>
                      <a:picLocks noChangeAspect="1" noChangeArrowheads="1"/>
                    </pic:cNvPicPr>
                  </pic:nvPicPr>
                  <pic:blipFill>
                    <a:blip r:embed="rId21"/>
                    <a:stretch>
                      <a:fillRect/>
                    </a:stretch>
                  </pic:blipFill>
                  <pic:spPr>
                    <a:xfrm>
                      <a:off x="0" y="0"/>
                      <a:ext cx="5486400" cy="5486400"/>
                    </a:xfrm>
                    <a:prstGeom prst="rect">
                      <a:avLst/>
                    </a:prstGeom>
                    <a:noFill/>
                    <a:ln>
                      <a:noFill/>
                    </a:ln>
                  </pic:spPr>
                </pic:pic>
              </a:graphicData>
            </a:graphic>
          </wp:inline>
        </w:drawing>
      </w:r>
    </w:p>
    <w:p w14:paraId="1A945403">
      <w:pPr>
        <w:pStyle w:val="11"/>
        <w:spacing w:before="240" w:line="240" w:lineRule="auto"/>
        <w:jc w:val="left"/>
        <w:rPr>
          <w:rFonts w:ascii="Times New Roman" w:hAnsi="Times New Roman"/>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S10</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Prediction of RCDGs regulated by the m5C regulators. (A) Potential RCDGs are regulated by ALYREF based on the ALYREF RIP-seq data. (B) Volcano DEGs between siNSUN2 and siNC T24 cells. (C) The logFC of the potential RCDGs regulated by the NSUN2 in GSE133621. (D) Volcano DEGs between sgYBX1 and sgLuci cells. (E) The logFC of the potential RCDGs regulated by the YBX1 in GSE175714.</w:t>
      </w:r>
    </w:p>
    <w:p w14:paraId="4767B535">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345798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9885"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709F7BFB">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S11</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ceRNA network and transcriptional regulation network of RCDGs. (A) ceRNA networks of RCDGs in bladder cancer. (B) The relationship network between RCDGs and regulators.</w:t>
      </w:r>
    </w:p>
    <w:p w14:paraId="31644232">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7705798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579836"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6E4C554C">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S12</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Importance of RCDGs in bladder cancer. (A) The heatmap shows the RCDGs with gDS &gt; 0 in all three bladder cancer cells. (B) Correlation between aneuploidy score and the mRNA expression of RCDGs. (C) The heatmap shows the estimated IC</w:t>
      </w:r>
      <w:r>
        <w:rPr>
          <w:rFonts w:ascii="Times New Roman" w:hAnsi="Times New Roman"/>
          <w:color w:val="000000" w:themeColor="text1"/>
          <w:sz w:val="22"/>
          <w:szCs w:val="22"/>
          <w:vertAlign w:val="subscript"/>
          <w14:textFill>
            <w14:solidFill>
              <w14:schemeClr w14:val="tx1"/>
            </w14:solidFill>
          </w14:textFill>
        </w:rPr>
        <w:t>50</w:t>
      </w:r>
      <w:r>
        <w:rPr>
          <w:rFonts w:ascii="Times New Roman" w:hAnsi="Times New Roman"/>
          <w:color w:val="000000" w:themeColor="text1"/>
          <w:sz w:val="22"/>
          <w:szCs w:val="22"/>
          <w14:textFill>
            <w14:solidFill>
              <w14:schemeClr w14:val="tx1"/>
            </w14:solidFill>
          </w14:textFill>
        </w:rPr>
        <w:t xml:space="preserve"> of chemotherapy drugs in bladder cancer cells. (D) The boxplot shows the distribution of log2(IC</w:t>
      </w:r>
      <w:r>
        <w:rPr>
          <w:rFonts w:ascii="Times New Roman" w:hAnsi="Times New Roman"/>
          <w:color w:val="000000" w:themeColor="text1"/>
          <w:sz w:val="22"/>
          <w:szCs w:val="22"/>
          <w:vertAlign w:val="subscript"/>
          <w14:textFill>
            <w14:solidFill>
              <w14:schemeClr w14:val="tx1"/>
            </w14:solidFill>
          </w14:textFill>
        </w:rPr>
        <w:t>50</w:t>
      </w:r>
      <w:r>
        <w:rPr>
          <w:rFonts w:ascii="Times New Roman" w:hAnsi="Times New Roman"/>
          <w:color w:val="000000" w:themeColor="text1"/>
          <w:sz w:val="22"/>
          <w:szCs w:val="22"/>
          <w14:textFill>
            <w14:solidFill>
              <w14:schemeClr w14:val="tx1"/>
            </w14:solidFill>
          </w14:textFill>
        </w:rPr>
        <w:t xml:space="preserve"> + 1)-transformed estimated IC</w:t>
      </w:r>
      <w:r>
        <w:rPr>
          <w:rFonts w:ascii="Times New Roman" w:hAnsi="Times New Roman"/>
          <w:color w:val="000000" w:themeColor="text1"/>
          <w:sz w:val="22"/>
          <w:szCs w:val="22"/>
          <w:vertAlign w:val="subscript"/>
          <w14:textFill>
            <w14:solidFill>
              <w14:schemeClr w14:val="tx1"/>
            </w14:solidFill>
          </w14:textFill>
        </w:rPr>
        <w:t>50</w:t>
      </w:r>
      <w:r>
        <w:rPr>
          <w:rFonts w:ascii="Times New Roman" w:hAnsi="Times New Roman"/>
          <w:color w:val="000000" w:themeColor="text1"/>
          <w:sz w:val="22"/>
          <w:szCs w:val="22"/>
          <w14:textFill>
            <w14:solidFill>
              <w14:schemeClr w14:val="tx1"/>
            </w14:solidFill>
          </w14:textFill>
        </w:rPr>
        <w:t xml:space="preserve"> of chemotherapy drugs in TCGA-BLCA samples. (E) The network shows the correlation between the estimated IC</w:t>
      </w:r>
      <w:r>
        <w:rPr>
          <w:rFonts w:ascii="Times New Roman" w:hAnsi="Times New Roman"/>
          <w:color w:val="000000" w:themeColor="text1"/>
          <w:sz w:val="22"/>
          <w:szCs w:val="22"/>
          <w:vertAlign w:val="subscript"/>
          <w14:textFill>
            <w14:solidFill>
              <w14:schemeClr w14:val="tx1"/>
            </w14:solidFill>
          </w14:textFill>
        </w:rPr>
        <w:t>50</w:t>
      </w:r>
      <w:r>
        <w:rPr>
          <w:rFonts w:ascii="Times New Roman" w:hAnsi="Times New Roman"/>
          <w:color w:val="000000" w:themeColor="text1"/>
          <w:sz w:val="22"/>
          <w:szCs w:val="22"/>
          <w14:textFill>
            <w14:solidFill>
              <w14:schemeClr w14:val="tx1"/>
            </w14:solidFill>
          </w14:textFill>
        </w:rPr>
        <w:t xml:space="preserve"> of chemotherapy drugs and the mRNA expression of RCDGs. (F) The Kaplan-Meier survival curves of high-/low-RSI-group in the overall TCGA-BLCA patients. (G) Univariate and multivariate Cox regression analysis regarding OS in the TCGA-BLCA cohorts based on RSI, age, gender, grade, and stage. The HR estimate for RSI should be interpreted cautiously because the extreme value suggests potential Cox model instability after RSI dichotomization.</w:t>
      </w:r>
    </w:p>
    <w:p w14:paraId="01713C5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6563482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348241"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7024DFFF">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S13</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Cluster analysis of the other three BLCA datasets. (A-C) The t-SNE analysis supported the stratification into GSE13507 tumor and normal groups. Cluster dendrogram of GSE13507 RCD cluster. Because Cluster 2 contained only 6 patients, the survival result in GSE13507 should be interpreted as exploratory. The Kaplan-Meier survival curves of the GSE13507 RCD cluster1/cluster2. (D-F) The t-SNE analysis supported the stratification into GSE48075 MIBC and NMIBC groups. Cluster dendrogram of GSE48075 RCD cluster. The Kaplan-Meier survival curves of the GSE48075 RCD cluster1/cluster2. (G-I) The t-SNE analysis supported the stratification into GSE48276 MIBC and other groups. Cluster dendrogram of GSE48276 RCD cluster. The Kaplan-Meier survival curves of the GSE48276 RCD cluster1/cluster2. </w:t>
      </w:r>
    </w:p>
    <w:p w14:paraId="51B22648">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337838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838327" name="Picture 14"/>
                    <pic:cNvPicPr>
                      <a:picLocks noChangeAspect="1" noChangeArrowheads="1"/>
                    </pic:cNvPicPr>
                  </pic:nvPicPr>
                  <pic:blipFill>
                    <a:blip r:embed="rId25"/>
                    <a:stretch>
                      <a:fillRect/>
                    </a:stretch>
                  </pic:blipFill>
                  <pic:spPr>
                    <a:xfrm>
                      <a:off x="0" y="0"/>
                      <a:ext cx="5486400" cy="5486400"/>
                    </a:xfrm>
                    <a:prstGeom prst="rect">
                      <a:avLst/>
                    </a:prstGeom>
                    <a:noFill/>
                    <a:ln>
                      <a:noFill/>
                    </a:ln>
                  </pic:spPr>
                </pic:pic>
              </a:graphicData>
            </a:graphic>
          </wp:inline>
        </w:drawing>
      </w:r>
    </w:p>
    <w:p w14:paraId="3A738C12">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S14</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The t-SNE analysis supported the stratification into the tumor and normal groups of 25 TCGA cancer types.</w:t>
      </w:r>
    </w:p>
    <w:p w14:paraId="7DD1684D">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0058414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41405"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659B430A">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S15</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Cluster and survival analysis of 12 cancer types based on the Expression of RCDGs. For PAAD, the Cox-derived hazard ratio was not reported because the very small Cluster 2 subgroup (n = 8) resulted in unstable model estimation.</w:t>
      </w:r>
    </w:p>
    <w:p w14:paraId="1067B43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9770692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69261"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75799D29">
      <w:pPr>
        <w:pStyle w:val="11"/>
        <w:spacing w:before="240" w:line="240" w:lineRule="auto"/>
        <w:jc w:val="left"/>
        <w:rPr>
          <w:rFonts w:ascii="Times New Roman" w:hAnsi="Times New Roman"/>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S16</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Mutation characterization of RCD clusters. (A and B) Mutation characterization of RCD cluster 1. (C and D) Mutation characterization of RCD cluster 2.</w:t>
      </w:r>
    </w:p>
    <w:p w14:paraId="558F1F69">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7029530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53020" name="Picture 17"/>
                    <pic:cNvPicPr>
                      <a:picLocks noChangeAspect="1" noChangeArrowheads="1"/>
                    </pic:cNvPicPr>
                  </pic:nvPicPr>
                  <pic:blipFill>
                    <a:blip r:embed="rId28"/>
                    <a:stretch>
                      <a:fillRect/>
                    </a:stretch>
                  </pic:blipFill>
                  <pic:spPr>
                    <a:xfrm>
                      <a:off x="0" y="0"/>
                      <a:ext cx="5486400" cy="5486400"/>
                    </a:xfrm>
                    <a:prstGeom prst="rect">
                      <a:avLst/>
                    </a:prstGeom>
                    <a:noFill/>
                    <a:ln>
                      <a:noFill/>
                    </a:ln>
                  </pic:spPr>
                </pic:pic>
              </a:graphicData>
            </a:graphic>
          </wp:inline>
        </w:drawing>
      </w:r>
    </w:p>
    <w:p w14:paraId="6EB4E02D">
      <w:pPr>
        <w:pStyle w:val="11"/>
        <w:spacing w:before="240" w:line="240" w:lineRule="auto"/>
        <w:jc w:val="left"/>
        <w:rPr>
          <w:rFonts w:ascii="Times New Roman" w:hAnsi="Times New Roman"/>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S17</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Hallmark-related cancer pathways and immune infiltration based on the RCD clusters. (A) The heatmap shows the activity score in cluster1 and cluster2. (B) The heatmap shows the immune infiltration levels in cluster 1 and cluster 2. NS, not significant;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-value &lt; 0.05, **</w:t>
      </w:r>
      <w:r>
        <w:rPr>
          <w:rFonts w:ascii="Times New Roman" w:hAnsi="Times New Roman"/>
          <w:i/>
          <w:iCs/>
          <w:color w:val="000000" w:themeColor="text1"/>
          <w:sz w:val="22"/>
          <w:szCs w:val="22"/>
          <w14:textFill>
            <w14:solidFill>
              <w14:schemeClr w14:val="tx1"/>
            </w14:solidFill>
          </w14:textFill>
        </w:rPr>
        <w:t xml:space="preserve"> P</w:t>
      </w:r>
      <w:r>
        <w:rPr>
          <w:rFonts w:ascii="Times New Roman" w:hAnsi="Times New Roman"/>
          <w:color w:val="000000" w:themeColor="text1"/>
          <w:sz w:val="22"/>
          <w:szCs w:val="22"/>
          <w14:textFill>
            <w14:solidFill>
              <w14:schemeClr w14:val="tx1"/>
            </w14:solidFill>
          </w14:textFill>
        </w:rPr>
        <w:t xml:space="preserve">-value &lt; 0.01,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 xml:space="preserve">value &lt; 0.001, **** </w:t>
      </w:r>
      <w:r>
        <w:rPr>
          <w:rFonts w:ascii="Times New Roman" w:hAnsi="Times New Roman"/>
          <w:i/>
          <w:iCs/>
          <w:color w:val="000000" w:themeColor="text1"/>
          <w:sz w:val="22"/>
          <w:szCs w:val="22"/>
          <w14:textFill>
            <w14:solidFill>
              <w14:schemeClr w14:val="tx1"/>
            </w14:solidFill>
          </w14:textFill>
        </w:rPr>
        <w:t>P</w:t>
      </w:r>
      <w:r>
        <w:rPr>
          <w:rFonts w:ascii="Times New Roman" w:hAnsi="Times New Roman"/>
          <w:color w:val="000000" w:themeColor="text1"/>
          <w:sz w:val="22"/>
          <w:szCs w:val="22"/>
          <w14:textFill>
            <w14:solidFill>
              <w14:schemeClr w14:val="tx1"/>
            </w14:solidFill>
          </w14:textFill>
        </w:rPr>
        <w:t>-value &lt; 0.0001.</w:t>
      </w:r>
    </w:p>
    <w:p w14:paraId="2C0900CE">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8790157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15704"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7070AC62">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S18</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Determination of the soft-thresholding power for WGCNA network construction in TCGA-MIBC. (A) Analysis of the scale-free fit index and mean connectivity for various soft-thresholding powers of TCGA-MIBC datasets. The red horizontal line is shown as a visual reference for scale-free topology fitting. (B) Checking the scale-free topology when β = 5. </w:t>
      </w:r>
      <w:r>
        <w:rPr>
          <w:rFonts w:hint="eastAsia" w:ascii="Times New Roman" w:hAnsi="Times New Roman" w:eastAsiaTheme="minorEastAsia"/>
          <w:color w:val="000000" w:themeColor="text1"/>
          <w:sz w:val="22"/>
          <w:szCs w:val="22"/>
          <w:highlight w:val="green"/>
          <w:lang w:eastAsia="zh-CN"/>
          <w14:textFill>
            <w14:solidFill>
              <w14:schemeClr w14:val="tx1"/>
            </w14:solidFill>
          </w14:textFill>
        </w:rPr>
        <w:t>κ</w:t>
      </w:r>
      <w:r>
        <w:rPr>
          <w:rStyle w:val="10"/>
          <w:rFonts w:ascii="Times New Roman" w:hAnsi="Times New Roman"/>
          <w:color w:val="000000" w:themeColor="text1"/>
          <w:sz w:val="22"/>
          <w:szCs w:val="22"/>
          <w14:textFill>
            <w14:solidFill>
              <w14:schemeClr w14:val="tx1"/>
            </w14:solidFill>
          </w14:textFill>
        </w:rPr>
        <w:commentReference w:id="0"/>
      </w:r>
      <w:r>
        <w:rPr>
          <w:rFonts w:ascii="Times New Roman" w:hAnsi="Times New Roman"/>
          <w:color w:val="000000" w:themeColor="text1"/>
          <w:sz w:val="22"/>
          <w:szCs w:val="22"/>
          <w14:textFill>
            <w14:solidFill>
              <w14:schemeClr w14:val="tx1"/>
            </w14:solidFill>
          </w14:textFill>
        </w:rPr>
        <w:t xml:space="preserve"> represents the whole network connectivity and p(k) represents its frequency distribution; the plot shows their logarithm-transformed values. </w:t>
      </w:r>
      <w:r>
        <w:rPr>
          <w:rFonts w:hint="eastAsia" w:ascii="Times New Roman" w:hAnsi="Times New Roman" w:eastAsiaTheme="minorEastAsia"/>
          <w:color w:val="000000" w:themeColor="text1"/>
          <w:sz w:val="22"/>
          <w:szCs w:val="22"/>
          <w:highlight w:val="green"/>
          <w:lang w:eastAsia="zh-CN"/>
          <w14:textFill>
            <w14:solidFill>
              <w14:schemeClr w14:val="tx1"/>
            </w14:solidFill>
          </w14:textFill>
        </w:rPr>
        <w:t>κ</w:t>
      </w:r>
      <w:r>
        <w:rPr>
          <w:rFonts w:ascii="Times New Roman" w:hAnsi="Times New Roman"/>
          <w:color w:val="000000" w:themeColor="text1"/>
          <w:sz w:val="22"/>
          <w:szCs w:val="22"/>
          <w14:textFill>
            <w14:solidFill>
              <w14:schemeClr w14:val="tx1"/>
            </w14:solidFill>
          </w14:textFill>
        </w:rPr>
        <w:t xml:space="preserve"> is negatively correlated with p (k). The correlation coefficient was 0.88 in TCGA-MIBC, which represents scale-free topology.</w:t>
      </w:r>
    </w:p>
    <w:p w14:paraId="2D922BBB">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1219632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63274" name="Picture 19"/>
                    <pic:cNvPicPr>
                      <a:picLocks noChangeAspect="1" noChangeArrowheads="1"/>
                    </pic:cNvPicPr>
                  </pic:nvPicPr>
                  <pic:blipFill>
                    <a:blip r:embed="rId30"/>
                    <a:stretch>
                      <a:fillRect/>
                    </a:stretch>
                  </pic:blipFill>
                  <pic:spPr>
                    <a:xfrm>
                      <a:off x="0" y="0"/>
                      <a:ext cx="5486400" cy="5486400"/>
                    </a:xfrm>
                    <a:prstGeom prst="rect">
                      <a:avLst/>
                    </a:prstGeom>
                    <a:noFill/>
                    <a:ln>
                      <a:noFill/>
                    </a:ln>
                  </pic:spPr>
                </pic:pic>
              </a:graphicData>
            </a:graphic>
          </wp:inline>
        </w:drawing>
      </w:r>
    </w:p>
    <w:p w14:paraId="5BA46FC9">
      <w:pPr>
        <w:pStyle w:val="11"/>
        <w:spacing w:before="240" w:line="240" w:lineRule="auto"/>
        <w:jc w:val="left"/>
        <w:rPr>
          <w:rFonts w:ascii="Times New Roman" w:hAnsi="Times New Roman"/>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S19</w:t>
      </w:r>
      <w:r>
        <w:rPr>
          <w:rFonts w:ascii="Times New Roman" w:hAnsi="Times New Roman" w:eastAsia="宋体"/>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Single-cell sequence analysis of RCDGs in bladder cancer. (A) t-SNE plot of 36789 high-quality cells showing clusters and cell types. (B) The bubble plot shows the distribution of epithelial lineage markers (EPCAM, KRT8, and KRT18), luminal-associated marker (GATA3), and basal-associated markers (CD44 and KRT5) across different clusters. (C) The volcano diagram shows the DEGs between luminal cells and basal cells.</w:t>
      </w:r>
    </w:p>
    <w:p w14:paraId="4E615D77">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3845785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578512"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084B8A35">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S20</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w:t>
      </w:r>
      <w:r>
        <w:rPr>
          <w:rFonts w:ascii="Times New Roman" w:hAnsi="Times New Roman" w:eastAsiaTheme="minorEastAsia"/>
          <w:color w:val="000000" w:themeColor="text1"/>
          <w:sz w:val="22"/>
          <w:szCs w:val="22"/>
          <w:lang w:eastAsia="zh-CN"/>
          <w14:textFill>
            <w14:solidFill>
              <w14:schemeClr w14:val="tx1"/>
            </w14:solidFill>
          </w14:textFill>
        </w:rPr>
        <w:t>D</w:t>
      </w:r>
      <w:r>
        <w:rPr>
          <w:rFonts w:ascii="Times New Roman" w:hAnsi="Times New Roman"/>
          <w:color w:val="000000" w:themeColor="text1"/>
          <w:sz w:val="22"/>
          <w:szCs w:val="22"/>
          <w14:textFill>
            <w14:solidFill>
              <w14:schemeClr w14:val="tx1"/>
            </w14:solidFill>
          </w14:textFill>
        </w:rPr>
        <w:t>istribution of the marker on the t-SNE map. (A) t-SNE plot represents the distribution of the markers of epithelial cells (EPCAM, KRT8, and KRT18). (B) t-SNE plot represents the distribution of the markers of luminal type (GATA3) and basal type (KRT5 and CD44) of bladder cancer cells.</w:t>
      </w:r>
    </w:p>
    <w:p w14:paraId="5501BCEA">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26042899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28998"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3EB9368C">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S21</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w:t>
      </w:r>
      <w:r>
        <w:rPr>
          <w:rFonts w:ascii="Times New Roman" w:hAnsi="Times New Roman" w:eastAsiaTheme="minorEastAsia"/>
          <w:color w:val="000000" w:themeColor="text1"/>
          <w:sz w:val="22"/>
          <w:szCs w:val="22"/>
          <w:lang w:eastAsia="zh-CN"/>
          <w14:textFill>
            <w14:solidFill>
              <w14:schemeClr w14:val="tx1"/>
            </w14:solidFill>
          </w14:textFill>
        </w:rPr>
        <w:t>E</w:t>
      </w:r>
      <w:r>
        <w:rPr>
          <w:rFonts w:ascii="Times New Roman" w:hAnsi="Times New Roman"/>
          <w:color w:val="000000" w:themeColor="text1"/>
          <w:sz w:val="22"/>
          <w:szCs w:val="22"/>
          <w14:textFill>
            <w14:solidFill>
              <w14:schemeClr w14:val="tx1"/>
            </w14:solidFill>
          </w14:textFill>
        </w:rPr>
        <w:t xml:space="preserve">xpression of yellow module-related prognostic genes in different single-cell clusters and t-SNE distribution. </w:t>
      </w:r>
    </w:p>
    <w:p w14:paraId="626E7505">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797921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2186"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428C2AB1">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S22</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Expression of turquoise module-related prognostic genes in different single-cell clusters and t-SNE distribution. </w:t>
      </w:r>
    </w:p>
    <w:p w14:paraId="164E9508">
      <w:pPr>
        <w:pStyle w:val="11"/>
        <w:spacing w:before="24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1949982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820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86400" cy="5486400"/>
                    </a:xfrm>
                    <a:prstGeom prst="rect">
                      <a:avLst/>
                    </a:prstGeom>
                    <a:noFill/>
                    <a:ln>
                      <a:noFill/>
                    </a:ln>
                  </pic:spPr>
                </pic:pic>
              </a:graphicData>
            </a:graphic>
          </wp:inline>
        </w:drawing>
      </w:r>
    </w:p>
    <w:p w14:paraId="5FB80761">
      <w:pPr>
        <w:pStyle w:val="11"/>
        <w:spacing w:before="240" w:line="240" w:lineRule="auto"/>
        <w:jc w:val="left"/>
        <w:rPr>
          <w:rFonts w:ascii="Times New Roman" w:hAnsi="Times New Roman"/>
          <w:color w:val="000000" w:themeColor="text1"/>
          <w:sz w:val="22"/>
          <w:szCs w:val="22"/>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S23</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Expression of brown module-related prognostic genes in different single-cell clusters and t-SNE distribution. </w:t>
      </w:r>
    </w:p>
    <w:p w14:paraId="32000C46">
      <w:pPr>
        <w:pStyle w:val="11"/>
        <w:spacing w:before="240" w:after="60" w:line="240" w:lineRule="auto"/>
        <w:jc w:val="left"/>
        <w:rPr>
          <w:rFonts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drawing>
          <wp:inline distT="0" distB="0" distL="0" distR="0">
            <wp:extent cx="5486400" cy="5486400"/>
            <wp:effectExtent l="0" t="0" r="0" b="0"/>
            <wp:docPr id="21423300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30087" name="Picture 24"/>
                    <pic:cNvPicPr>
                      <a:picLocks noChangeAspect="1" noChangeArrowheads="1"/>
                    </pic:cNvPicPr>
                  </pic:nvPicPr>
                  <pic:blipFill>
                    <a:blip r:embed="rId35"/>
                    <a:stretch>
                      <a:fillRect/>
                    </a:stretch>
                  </pic:blipFill>
                  <pic:spPr>
                    <a:xfrm>
                      <a:off x="0" y="0"/>
                      <a:ext cx="5486400" cy="5486400"/>
                    </a:xfrm>
                    <a:prstGeom prst="rect">
                      <a:avLst/>
                    </a:prstGeom>
                    <a:noFill/>
                    <a:ln>
                      <a:noFill/>
                    </a:ln>
                  </pic:spPr>
                </pic:pic>
              </a:graphicData>
            </a:graphic>
          </wp:inline>
        </w:drawing>
      </w:r>
    </w:p>
    <w:p w14:paraId="654FA874">
      <w:pPr>
        <w:pStyle w:val="11"/>
        <w:spacing w:before="240" w:after="60" w:line="240" w:lineRule="auto"/>
        <w:jc w:val="left"/>
        <w:rPr>
          <w:rFonts w:hint="eastAsia" w:ascii="Times New Roman" w:hAnsi="Times New Roman" w:eastAsiaTheme="minorEastAsia"/>
          <w:color w:val="000000" w:themeColor="text1"/>
          <w:sz w:val="22"/>
          <w:szCs w:val="22"/>
          <w:lang w:eastAsia="zh-CN"/>
          <w14:textFill>
            <w14:solidFill>
              <w14:schemeClr w14:val="tx1"/>
            </w14:solidFill>
          </w14:textFill>
        </w:rPr>
      </w:pPr>
      <w:r>
        <w:rPr>
          <w:rFonts w:ascii="Times New Roman" w:hAnsi="Times New Roman"/>
          <w:color w:val="000000" w:themeColor="text1"/>
          <w:sz w:val="22"/>
          <w:szCs w:val="22"/>
          <w14:textFill>
            <w14:solidFill>
              <w14:schemeClr w14:val="tx1"/>
            </w14:solidFill>
          </w14:textFill>
        </w:rPr>
        <w:t>Figure S24</w:t>
      </w:r>
      <w:r>
        <w:rPr>
          <w:rFonts w:ascii="Times New Roman" w:hAnsi="Times New Roman" w:eastAsiaTheme="minorEastAsia"/>
          <w:color w:val="000000" w:themeColor="text1"/>
          <w:sz w:val="22"/>
          <w:szCs w:val="22"/>
          <w:lang w:eastAsia="zh-CN"/>
          <w14:textFill>
            <w14:solidFill>
              <w14:schemeClr w14:val="tx1"/>
            </w14:solidFill>
          </w14:textFill>
        </w:rPr>
        <w:t>.</w:t>
      </w:r>
      <w:r>
        <w:rPr>
          <w:rFonts w:ascii="Times New Roman" w:hAnsi="Times New Roman"/>
          <w:color w:val="000000" w:themeColor="text1"/>
          <w:sz w:val="22"/>
          <w:szCs w:val="22"/>
          <w14:textFill>
            <w14:solidFill>
              <w14:schemeClr w14:val="tx1"/>
            </w14:solidFill>
          </w14:textFill>
        </w:rPr>
        <w:t xml:space="preserve"> Expression of RCD cluster-related prognosis genes in luminal and basal type bladder cancer cells.</w:t>
      </w:r>
    </w:p>
    <w:sectPr>
      <w:headerReference r:id="rId9" w:type="first"/>
      <w:footerReference r:id="rId10" w:type="first"/>
      <w:headerReference r:id="rId7" w:type="default"/>
      <w:headerReference r:id="rId8" w:type="even"/>
      <w:pgSz w:w="12242" w:h="15842"/>
      <w:pgMar w:top="1440" w:right="1440" w:bottom="1440" w:left="1440" w:header="680" w:footer="794" w:gutter="0"/>
      <w:lnNumType w:countBy="1" w:restart="continuous"/>
      <w:pgNumType w:start="1"/>
      <w:cols w:space="425" w:num="1"/>
      <w:titlePg/>
      <w:bidi/>
      <w:docGrid w:type="lines" w:linePitch="326"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Jing Sun" w:date="2026-06-08T09:21:00Z" w:initials="">
    <w:p w14:paraId="24B85B21">
      <w:pPr>
        <w:pStyle w:val="2"/>
        <w:ind w:firstLine="0"/>
        <w:jc w:val="left"/>
      </w:pPr>
      <w:r>
        <w:t>We have changed "K" to "κ" here. Please confirm.</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4B85B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nion Pro">
    <w:panose1 w:val="02040503050306020203"/>
    <w:charset w:val="00"/>
    <w:family w:val="roman"/>
    <w:pitch w:val="default"/>
    <w:sig w:usb0="60000287" w:usb1="00000001" w:usb2="00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A21053">
    <w:pPr>
      <w:pStyle w:val="15"/>
      <w:rPr>
        <w:sz w:val="16"/>
        <w:szCs w:val="16"/>
        <w:lang w:val="en-US"/>
      </w:rPr>
    </w:pPr>
    <w:r>
      <w:rPr>
        <w:sz w:val="16"/>
        <w:szCs w:val="16"/>
        <w:lang w:val="en-US" w:bidi="en-US"/>
      </w:rPr>
      <w:t>Copyright © 202</w:t>
    </w:r>
    <w:r>
      <w:rPr>
        <w:rFonts w:eastAsiaTheme="minorEastAsia"/>
        <w:sz w:val="16"/>
        <w:szCs w:val="16"/>
        <w:lang w:val="en-US" w:eastAsia="zh-CN" w:bidi="en-US"/>
      </w:rPr>
      <w:t>6</w:t>
    </w:r>
    <w:r>
      <w:rPr>
        <w:sz w:val="16"/>
        <w:szCs w:val="16"/>
        <w:lang w:val="en-US" w:bidi="en-US"/>
      </w:rPr>
      <w:t xml:space="preserve"> The Author(s). Published by Tech Science Press.</w:t>
    </w:r>
    <w:r>
      <w:rPr>
        <w:rFonts w:eastAsiaTheme="minorEastAsia"/>
        <w:sz w:val="16"/>
        <w:szCs w:val="16"/>
        <w:lang w:val="en-US" w:eastAsia="zh-CN" w:bidi="en-US"/>
      </w:rPr>
      <w:t xml:space="preserve"> </w:t>
    </w:r>
    <w:r>
      <w:rPr>
        <w:sz w:val="16"/>
        <w:szCs w:val="16"/>
        <w:lang w:val="en-US" w:bidi="en-US"/>
      </w:rPr>
      <w:t>This work is licensed under a Creative Commons Attribution 4.0 International License, which permits unrestricted use, distribution, and reproduction in any medium, provided the original work is properly cited.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3DD51F">
    <w:pPr>
      <w:pStyle w:val="12"/>
    </w:pPr>
    <w:r>
      <w:t>Can J Urol. 202</w:t>
    </w:r>
    <w:r>
      <w:rPr>
        <w:rFonts w:hint="eastAsia" w:eastAsiaTheme="minorEastAsia"/>
        <w:lang w:eastAsia="zh-CN"/>
      </w:rPr>
      <w:t>6</w:t>
    </w:r>
    <w:r>
      <w:t>;</w:t>
    </w:r>
    <w:r>
      <w:rPr>
        <w:rFonts w:hint="eastAsia"/>
      </w:rPr>
      <w:t>volume(</w:t>
    </w:r>
    <w:r>
      <w:t>issue):article number</w:t>
    </w:r>
    <w:r>
      <w:ptab w:relativeTo="margin" w:alignment="right" w:leader="none"/>
    </w:r>
    <w:r>
      <w:fldChar w:fldCharType="begin"/>
    </w:r>
    <w:r>
      <w:instrText xml:space="preserve"> PAGE   \* MERGEFORMAT </w:instrText>
    </w:r>
    <w:r>
      <w:fldChar w:fldCharType="separate"/>
    </w:r>
    <w:r>
      <w:t>3</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A16C3">
    <w:pPr>
      <w:pStyle w:val="12"/>
    </w:pPr>
    <w:r>
      <w:fldChar w:fldCharType="begin"/>
    </w:r>
    <w:r>
      <w:instrText xml:space="preserve"> PAGE   \* MERGEFORMAT </w:instrText>
    </w:r>
    <w:r>
      <w:fldChar w:fldCharType="separate"/>
    </w:r>
    <w:r>
      <w:t>2</w:t>
    </w:r>
    <w:r>
      <w:fldChar w:fldCharType="end"/>
    </w:r>
    <w:r>
      <w:ptab w:relativeTo="margin" w:alignment="right" w:leader="none"/>
    </w:r>
    <w:r>
      <w:t>Can J Urol. 202</w:t>
    </w:r>
    <w:r>
      <w:rPr>
        <w:rFonts w:hint="eastAsia" w:eastAsiaTheme="minorEastAsia"/>
        <w:lang w:eastAsia="zh-CN"/>
      </w:rPr>
      <w:t>6</w:t>
    </w:r>
    <w:r>
      <w:t>;</w:t>
    </w:r>
    <w:r>
      <w:rPr>
        <w:rFonts w:hint="eastAsia"/>
      </w:rPr>
      <w:t>volume(</w:t>
    </w:r>
    <w:r>
      <w:t>issue):article number</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7"/>
      <w:tblpPr w:leftFromText="180" w:rightFromText="180" w:vertAnchor="text" w:tblpY="1"/>
      <w:tblOverlap w:val="never"/>
      <w:tblW w:w="936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3334"/>
      <w:gridCol w:w="2785"/>
      <w:gridCol w:w="3242"/>
    </w:tblGrid>
    <w:tr w14:paraId="5D5EB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cantSplit/>
        <w:trHeight w:val="652" w:hRule="exact"/>
      </w:trPr>
      <w:tc>
        <w:tcPr>
          <w:tcW w:w="3591" w:type="dxa"/>
          <w:vAlign w:val="center"/>
        </w:tcPr>
        <w:p w14:paraId="3EFDF31D">
          <w:pPr>
            <w:pStyle w:val="13"/>
            <w:jc w:val="both"/>
          </w:pPr>
          <w:r>
            <w:drawing>
              <wp:inline distT="0" distB="0" distL="0" distR="0">
                <wp:extent cx="1551940" cy="413385"/>
                <wp:effectExtent l="0" t="0" r="2540" b="13335"/>
                <wp:docPr id="1887035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035199" name="Picture 1"/>
                        <pic:cNvPicPr>
                          <a:picLocks noChangeAspect="1" noChangeArrowheads="1"/>
                        </pic:cNvPicPr>
                      </pic:nvPicPr>
                      <pic:blipFill>
                        <a:blip r:embed="rId1">
                          <a:extLst>
                            <a:ext uri="{28A0092B-C50C-407E-A947-70E740481C1C}">
                              <a14:useLocalDpi xmlns:a14="http://schemas.microsoft.com/office/drawing/2010/main" val="0"/>
                            </a:ext>
                          </a:extLst>
                        </a:blip>
                        <a:srcRect l="2673"/>
                        <a:stretch>
                          <a:fillRect/>
                        </a:stretch>
                      </pic:blipFill>
                      <pic:spPr>
                        <a:xfrm>
                          <a:off x="0" y="0"/>
                          <a:ext cx="1552500" cy="414000"/>
                        </a:xfrm>
                        <a:prstGeom prst="rect">
                          <a:avLst/>
                        </a:prstGeom>
                        <a:noFill/>
                        <a:ln>
                          <a:noFill/>
                        </a:ln>
                      </pic:spPr>
                    </pic:pic>
                  </a:graphicData>
                </a:graphic>
              </wp:inline>
            </w:drawing>
          </w:r>
        </w:p>
      </w:tc>
      <w:tc>
        <w:tcPr>
          <w:tcW w:w="3591" w:type="dxa"/>
          <w:vAlign w:val="center"/>
        </w:tcPr>
        <w:p w14:paraId="2F646F69">
          <w:pPr>
            <w:jc w:val="center"/>
          </w:pPr>
        </w:p>
      </w:tc>
      <w:tc>
        <w:tcPr>
          <w:tcW w:w="3591" w:type="dxa"/>
          <w:vAlign w:val="center"/>
        </w:tcPr>
        <w:p w14:paraId="3B12DABF">
          <w:pPr>
            <w:pStyle w:val="14"/>
          </w:pPr>
          <w:r>
            <w:drawing>
              <wp:inline distT="0" distB="0" distL="0" distR="0">
                <wp:extent cx="1287780" cy="187960"/>
                <wp:effectExtent l="0" t="0" r="7620" b="10160"/>
                <wp:docPr id="1008304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04857" name="图片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287780" cy="188337"/>
                        </a:xfrm>
                        <a:prstGeom prst="rect">
                          <a:avLst/>
                        </a:prstGeom>
                        <a:noFill/>
                        <a:ln>
                          <a:noFill/>
                        </a:ln>
                      </pic:spPr>
                    </pic:pic>
                  </a:graphicData>
                </a:graphic>
              </wp:inline>
            </w:drawing>
          </w:r>
        </w:p>
      </w:tc>
    </w:tr>
  </w:tbl>
  <w:p w14:paraId="1570EF83">
    <w:pPr>
      <w:pStyle w:val="4"/>
      <w:spacing w:line="80" w:lineRule="exact"/>
      <w:rPr>
        <w:sz w:val="18"/>
      </w:rP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ng Sun">
    <w15:presenceInfo w15:providerId="Windows Live" w15:userId="d501b449fc222a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3"/>
  <w:embedSystemFonts/>
  <w:bordersDoNotSurroundHeader w:val="1"/>
  <w:bordersDoNotSurroundFooter w:val="1"/>
  <w:documentProtection w:enforcement="0"/>
  <w:defaultTabStop w:val="720"/>
  <w:drawingGridVerticalSpacing w:val="156"/>
  <w:displayHorizontalDrawingGridEvery w:val="0"/>
  <w:displayVerticalDrawingGridEvery w:val="2"/>
  <w:characterSpacingControl w:val="doNotCompress"/>
  <w:footnotePr>
    <w:footnote w:id="0"/>
    <w:footnote w:id="1"/>
  </w:footnotePr>
  <w:endnotePr>
    <w:endnote w:id="0"/>
    <w:endnote w:id="1"/>
  </w:endnotePr>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D9B56F8"/>
    <w:rsid w:val="001C30D1"/>
    <w:rsid w:val="0021169D"/>
    <w:rsid w:val="002F245B"/>
    <w:rsid w:val="00B90E2C"/>
    <w:rsid w:val="00C11B3E"/>
    <w:rsid w:val="00DC5DB8"/>
    <w:rsid w:val="1C947772"/>
    <w:rsid w:val="65DF0054"/>
    <w:rsid w:val="6D9B56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60" w:line="240" w:lineRule="atLeast"/>
      <w:ind w:firstLine="425"/>
      <w:jc w:val="both"/>
    </w:pPr>
    <w:rPr>
      <w:rFonts w:ascii="Minion Pro" w:hAnsi="Minion Pro" w:eastAsia="宋体" w:cs="Times New Roman"/>
      <w:color w:val="000000"/>
      <w:sz w:val="22"/>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7"/>
    <w:qFormat/>
    <w:uiPriority w:val="0"/>
  </w:style>
  <w:style w:type="paragraph" w:styleId="3">
    <w:name w:val="footer"/>
    <w:basedOn w:val="1"/>
    <w:link w:val="16"/>
    <w:uiPriority w:val="0"/>
    <w:pPr>
      <w:tabs>
        <w:tab w:val="center" w:pos="4320"/>
        <w:tab w:val="right" w:pos="8640"/>
      </w:tabs>
      <w:spacing w:after="0" w:line="240" w:lineRule="auto"/>
    </w:pPr>
  </w:style>
  <w:style w:type="paragraph" w:styleId="4">
    <w:name w:val="header"/>
    <w:basedOn w:val="1"/>
    <w:qFormat/>
    <w:uiPriority w:val="99"/>
    <w:pPr>
      <w:pBdr>
        <w:bottom w:val="single" w:color="auto" w:sz="6" w:space="1"/>
      </w:pBdr>
      <w:tabs>
        <w:tab w:val="center" w:pos="4153"/>
        <w:tab w:val="right" w:pos="8306"/>
      </w:tabs>
      <w:jc w:val="center"/>
    </w:pPr>
    <w:rPr>
      <w:szCs w:val="18"/>
    </w:rPr>
  </w:style>
  <w:style w:type="paragraph" w:styleId="5">
    <w:name w:val="annotation subject"/>
    <w:basedOn w:val="2"/>
    <w:next w:val="2"/>
    <w:link w:val="18"/>
    <w:uiPriority w:val="0"/>
    <w:pPr>
      <w:spacing w:line="240" w:lineRule="auto"/>
    </w:pPr>
    <w:rPr>
      <w:b/>
      <w:bCs/>
      <w:sz w:val="20"/>
    </w:rPr>
  </w:style>
  <w:style w:type="table" w:styleId="7">
    <w:name w:val="Table Grid"/>
    <w:basedOn w:val="6"/>
    <w:qFormat/>
    <w:uiPriority w:val="59"/>
    <w:pPr>
      <w:spacing w:line="260" w:lineRule="atLeast"/>
      <w:jc w:val="both"/>
    </w:pPr>
    <w:rPr>
      <w:rFonts w:ascii="Minion Pro" w:hAnsi="Minion Pro"/>
      <w:color w:val="00000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line number"/>
    <w:basedOn w:val="8"/>
    <w:uiPriority w:val="0"/>
  </w:style>
  <w:style w:type="character" w:styleId="10">
    <w:name w:val="annotation reference"/>
    <w:qFormat/>
    <w:uiPriority w:val="0"/>
    <w:rPr>
      <w:sz w:val="21"/>
      <w:szCs w:val="21"/>
    </w:rPr>
  </w:style>
  <w:style w:type="paragraph" w:customStyle="1" w:styleId="11">
    <w:name w:val="TSP_6.2_BackMatter"/>
    <w:qFormat/>
    <w:uiPriority w:val="0"/>
    <w:pPr>
      <w:adjustRightInd w:val="0"/>
      <w:snapToGrid w:val="0"/>
      <w:spacing w:before="120" w:after="120" w:line="240" w:lineRule="atLeast"/>
      <w:jc w:val="both"/>
    </w:pPr>
    <w:rPr>
      <w:rFonts w:ascii="Minion Pro" w:hAnsi="Minion Pro" w:eastAsia="Times New Roman" w:cs="Times New Roman"/>
      <w:snapToGrid w:val="0"/>
      <w:color w:val="000000"/>
      <w:lang w:val="en-US" w:eastAsia="en-US" w:bidi="en-US"/>
    </w:rPr>
  </w:style>
  <w:style w:type="paragraph" w:customStyle="1" w:styleId="12">
    <w:name w:val="TSP_header"/>
    <w:qFormat/>
    <w:uiPriority w:val="0"/>
    <w:pPr>
      <w:adjustRightInd w:val="0"/>
      <w:snapToGrid w:val="0"/>
      <w:spacing w:line="228" w:lineRule="auto"/>
      <w:jc w:val="both"/>
    </w:pPr>
    <w:rPr>
      <w:rFonts w:ascii="Minion Pro" w:hAnsi="Minion Pro" w:eastAsia="Times New Roman" w:cs="Times New Roman"/>
      <w:iCs/>
      <w:color w:val="000000"/>
      <w:sz w:val="16"/>
      <w:lang w:val="en-US" w:eastAsia="de-DE" w:bidi="ar-SA"/>
    </w:rPr>
  </w:style>
  <w:style w:type="paragraph" w:customStyle="1" w:styleId="13">
    <w:name w:val="TSP_header_journal_logo"/>
    <w:qFormat/>
    <w:uiPriority w:val="0"/>
    <w:pPr>
      <w:adjustRightInd w:val="0"/>
      <w:snapToGrid w:val="0"/>
      <w:spacing w:line="240" w:lineRule="atLeast"/>
    </w:pPr>
    <w:rPr>
      <w:rFonts w:ascii="Minion Pro" w:hAnsi="Minion Pro" w:eastAsia="Times New Roman" w:cs="Times New Roman"/>
      <w:color w:val="000000"/>
      <w:sz w:val="22"/>
      <w:szCs w:val="22"/>
      <w:lang w:val="en-US" w:eastAsia="de-CH" w:bidi="ar-SA"/>
    </w:rPr>
  </w:style>
  <w:style w:type="paragraph" w:customStyle="1" w:styleId="14">
    <w:name w:val="TSP_header_tsp_logo"/>
    <w:qFormat/>
    <w:uiPriority w:val="0"/>
    <w:pPr>
      <w:adjustRightInd w:val="0"/>
      <w:snapToGrid w:val="0"/>
      <w:spacing w:line="240" w:lineRule="atLeast"/>
      <w:jc w:val="right"/>
    </w:pPr>
    <w:rPr>
      <w:rFonts w:ascii="Minion Pro" w:hAnsi="Minion Pro" w:eastAsia="Times New Roman" w:cs="Times New Roman"/>
      <w:color w:val="000000"/>
      <w:sz w:val="22"/>
      <w:szCs w:val="22"/>
      <w:lang w:val="en-US" w:eastAsia="de-CH" w:bidi="ar-SA"/>
    </w:rPr>
  </w:style>
  <w:style w:type="paragraph" w:customStyle="1" w:styleId="15">
    <w:name w:val="TSP_7.2_Copyright"/>
    <w:qFormat/>
    <w:uiPriority w:val="0"/>
    <w:pPr>
      <w:adjustRightInd w:val="0"/>
      <w:snapToGrid w:val="0"/>
      <w:spacing w:line="228" w:lineRule="auto"/>
      <w:jc w:val="both"/>
    </w:pPr>
    <w:rPr>
      <w:rFonts w:ascii="Minion Pro" w:hAnsi="Minion Pro" w:eastAsia="Times New Roman" w:cs="Times New Roman"/>
      <w:snapToGrid w:val="0"/>
      <w:color w:val="000000"/>
      <w:sz w:val="18"/>
      <w:lang w:val="en-GB" w:eastAsia="en-GB" w:bidi="ar-SA"/>
    </w:rPr>
  </w:style>
  <w:style w:type="character" w:customStyle="1" w:styleId="16">
    <w:name w:val="Footer Char"/>
    <w:basedOn w:val="8"/>
    <w:link w:val="3"/>
    <w:uiPriority w:val="0"/>
    <w:rPr>
      <w:rFonts w:ascii="Minion Pro" w:hAnsi="Minion Pro" w:eastAsia="宋体" w:cs="Times New Roman"/>
      <w:color w:val="000000"/>
      <w:sz w:val="22"/>
    </w:rPr>
  </w:style>
  <w:style w:type="character" w:customStyle="1" w:styleId="17">
    <w:name w:val="Comment Text Char"/>
    <w:basedOn w:val="8"/>
    <w:link w:val="2"/>
    <w:uiPriority w:val="0"/>
    <w:rPr>
      <w:rFonts w:ascii="Minion Pro" w:hAnsi="Minion Pro" w:eastAsia="宋体" w:cs="Times New Roman"/>
      <w:color w:val="000000"/>
      <w:sz w:val="22"/>
    </w:rPr>
  </w:style>
  <w:style w:type="character" w:customStyle="1" w:styleId="18">
    <w:name w:val="Comment Subject Char"/>
    <w:basedOn w:val="17"/>
    <w:link w:val="5"/>
    <w:uiPriority w:val="0"/>
    <w:rPr>
      <w:rFonts w:ascii="Minion Pro" w:hAnsi="Minion Pro" w:eastAsia="宋体" w:cs="Times New Roman"/>
      <w:b/>
      <w:bCs/>
      <w:color w:val="000000"/>
      <w:sz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7" Type="http://schemas.microsoft.com/office/2011/relationships/people" Target="people.xml"/><Relationship Id="rId36" Type="http://schemas.openxmlformats.org/officeDocument/2006/relationships/fontTable" Target="fontTable.xml"/><Relationship Id="rId35" Type="http://schemas.openxmlformats.org/officeDocument/2006/relationships/image" Target="media/image26.tiff"/><Relationship Id="rId34" Type="http://schemas.openxmlformats.org/officeDocument/2006/relationships/image" Target="media/image25.tiff"/><Relationship Id="rId33" Type="http://schemas.openxmlformats.org/officeDocument/2006/relationships/image" Target="media/image24.tiff"/><Relationship Id="rId32" Type="http://schemas.openxmlformats.org/officeDocument/2006/relationships/image" Target="media/image23.tiff"/><Relationship Id="rId31" Type="http://schemas.openxmlformats.org/officeDocument/2006/relationships/image" Target="media/image22.tiff"/><Relationship Id="rId30" Type="http://schemas.openxmlformats.org/officeDocument/2006/relationships/image" Target="media/image21.tiff"/><Relationship Id="rId3" Type="http://schemas.openxmlformats.org/officeDocument/2006/relationships/comments" Target="comments.xml"/><Relationship Id="rId29" Type="http://schemas.openxmlformats.org/officeDocument/2006/relationships/image" Target="media/image20.tiff"/><Relationship Id="rId28" Type="http://schemas.openxmlformats.org/officeDocument/2006/relationships/image" Target="media/image19.tiff"/><Relationship Id="rId27" Type="http://schemas.openxmlformats.org/officeDocument/2006/relationships/image" Target="media/image18.tiff"/><Relationship Id="rId26" Type="http://schemas.openxmlformats.org/officeDocument/2006/relationships/image" Target="media/image17.tiff"/><Relationship Id="rId25" Type="http://schemas.openxmlformats.org/officeDocument/2006/relationships/image" Target="media/image16.tiff"/><Relationship Id="rId24" Type="http://schemas.openxmlformats.org/officeDocument/2006/relationships/image" Target="media/image15.tiff"/><Relationship Id="rId23" Type="http://schemas.openxmlformats.org/officeDocument/2006/relationships/image" Target="media/image14.tiff"/><Relationship Id="rId22" Type="http://schemas.openxmlformats.org/officeDocument/2006/relationships/image" Target="media/image13.tiff"/><Relationship Id="rId21" Type="http://schemas.openxmlformats.org/officeDocument/2006/relationships/image" Target="media/image12.tiff"/><Relationship Id="rId20" Type="http://schemas.openxmlformats.org/officeDocument/2006/relationships/image" Target="media/image11.tiff"/><Relationship Id="rId2" Type="http://schemas.openxmlformats.org/officeDocument/2006/relationships/settings" Target="settings.xml"/><Relationship Id="rId19" Type="http://schemas.openxmlformats.org/officeDocument/2006/relationships/image" Target="media/image10.tiff"/><Relationship Id="rId18" Type="http://schemas.openxmlformats.org/officeDocument/2006/relationships/image" Target="media/image9.tiff"/><Relationship Id="rId17" Type="http://schemas.openxmlformats.org/officeDocument/2006/relationships/image" Target="media/image8.tiff"/><Relationship Id="rId16" Type="http://schemas.openxmlformats.org/officeDocument/2006/relationships/image" Target="media/image7.tiff"/><Relationship Id="rId15" Type="http://schemas.openxmlformats.org/officeDocument/2006/relationships/image" Target="media/image6.tiff"/><Relationship Id="rId14" Type="http://schemas.openxmlformats.org/officeDocument/2006/relationships/image" Target="media/image5.tiff"/><Relationship Id="rId13" Type="http://schemas.openxmlformats.org/officeDocument/2006/relationships/image" Target="media/image4.tiff"/><Relationship Id="rId12" Type="http://schemas.openxmlformats.org/officeDocument/2006/relationships/image" Target="media/image3.tiff"/><Relationship Id="rId11" Type="http://schemas.openxmlformats.org/officeDocument/2006/relationships/theme" Target="theme/theme1.xml"/><Relationship Id="rId10" Type="http://schemas.openxmlformats.org/officeDocument/2006/relationships/footer" Target="footer1.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24</Pages>
  <Words>1640</Words>
  <Characters>9363</Characters>
  <Lines>78</Lines>
  <Paragraphs>22</Paragraphs>
  <TotalTime>1242</TotalTime>
  <ScaleCrop>false</ScaleCrop>
  <LinksUpToDate>false</LinksUpToDate>
  <CharactersWithSpaces>10985</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2026-06-12T09:19:00Z</dcterms:created>
  <dc:creator>Azura</dc:creator>
  <cp:lastModifiedBy>Yan Zhao</cp:lastModifiedBy>
  <dcterms:modified xsi:type="dcterms:W3CDTF">2026-07-11T03:26:20Z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C39998E33505452280A3FA10D3F1C4D7_13</vt:lpwstr>
  </property>
  <property fmtid="{D5CDD505-2E9C-101B-9397-08002B2CF9AE}" pid="4" name="KSOTemplateDocerSaveRecord">
    <vt:lpwstr>eyJoZGlkIjoiMThhOWM1YzQwMjc3YmIyZGJiOGM1YzExNDgxNTg3NWIiLCJ1c2VySWQiOiI0OTQwNjIyNjQifQ==</vt:lpwstr>
  </property>
</Properties>
</file>